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F" w:rsidRDefault="004F3EC3" w:rsidP="003C0B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1204686"/>
            <wp:effectExtent l="0" t="0" r="0" b="0"/>
            <wp:docPr id="3" name="Picture 3" descr="C:\Users\jpalys\Documents\TraxxShield10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lys\Documents\TraxxShield100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98" w:rsidRPr="00433FF6" w:rsidRDefault="004F3EC3" w:rsidP="003C0B98">
      <w:r>
        <w:t>September, 2016</w:t>
      </w:r>
    </w:p>
    <w:p w:rsidR="003C0B98" w:rsidRPr="00433FF6" w:rsidRDefault="004F3EC3" w:rsidP="003C0B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Bulletin:  TraxxShield100</w:t>
      </w:r>
      <w:r w:rsidR="003C0B98" w:rsidRPr="00433FF6">
        <w:rPr>
          <w:b/>
          <w:i/>
          <w:sz w:val="28"/>
          <w:szCs w:val="28"/>
        </w:rPr>
        <w:t xml:space="preserve"> Loose-lay Installation</w:t>
      </w:r>
      <w:r w:rsidR="007537DF" w:rsidRPr="00433FF6">
        <w:rPr>
          <w:b/>
          <w:i/>
          <w:sz w:val="28"/>
          <w:szCs w:val="28"/>
        </w:rPr>
        <w:t xml:space="preserve"> Methods</w:t>
      </w:r>
    </w:p>
    <w:p w:rsidR="003C0B98" w:rsidRPr="00350546" w:rsidRDefault="003C0B98" w:rsidP="003C0B98">
      <w:r w:rsidRPr="00350546">
        <w:t>On certain installations, it is required to</w:t>
      </w:r>
      <w:r w:rsidR="004F3EC3">
        <w:t xml:space="preserve"> float (loose-lay) TraxxShield100</w:t>
      </w:r>
      <w:r w:rsidRPr="00350546">
        <w:t xml:space="preserve"> over the concrete slab</w:t>
      </w:r>
      <w:r w:rsidR="003C3144" w:rsidRPr="00350546">
        <w:t xml:space="preserve"> or existing floor.</w:t>
      </w:r>
      <w:r w:rsidRPr="00350546">
        <w:t xml:space="preserve">  This is common on planned floor removal or covering an existing tile floor.  </w:t>
      </w:r>
      <w:r w:rsidR="005E3AFF" w:rsidRPr="00350546">
        <w:t>However, the installation technique is different.</w:t>
      </w:r>
    </w:p>
    <w:p w:rsidR="003C3144" w:rsidRPr="00350546" w:rsidRDefault="005E3AFF" w:rsidP="007537DF">
      <w:r w:rsidRPr="00350546">
        <w:t>We know that the installer must leave the Release Liner on</w:t>
      </w:r>
      <w:r w:rsidR="004F3EC3">
        <w:t xml:space="preserve"> TraxxShield100,</w:t>
      </w:r>
      <w:r w:rsidRPr="00350546">
        <w:t xml:space="preserve"> thereby not sticking to the floor.  But taping of the seams requires an adjustment from the</w:t>
      </w:r>
      <w:r w:rsidR="004F3EC3">
        <w:t xml:space="preserve"> standard 2” white </w:t>
      </w:r>
      <w:proofErr w:type="spellStart"/>
      <w:r w:rsidR="004F3EC3">
        <w:t>TraxxShield</w:t>
      </w:r>
      <w:proofErr w:type="spellEnd"/>
      <w:r w:rsidR="004F3EC3">
        <w:t xml:space="preserve"> Seam T</w:t>
      </w:r>
      <w:r w:rsidRPr="00350546">
        <w:t>ape.  If the installer were</w:t>
      </w:r>
      <w:r w:rsidR="0078762F" w:rsidRPr="00350546">
        <w:t xml:space="preserve"> to tape the TOP of the seam, </w:t>
      </w:r>
      <w:r w:rsidR="0078762F" w:rsidRPr="00350546">
        <w:rPr>
          <w:u w:val="single"/>
        </w:rPr>
        <w:t>s</w:t>
      </w:r>
      <w:r w:rsidRPr="00350546">
        <w:rPr>
          <w:u w:val="single"/>
        </w:rPr>
        <w:t>eam telegraphing</w:t>
      </w:r>
      <w:r w:rsidRPr="00350546">
        <w:t xml:space="preserve"> could occur on </w:t>
      </w:r>
      <w:r w:rsidR="0078762F" w:rsidRPr="00350546">
        <w:t>certain VCT, LVT, and LVP floorcoverings.</w:t>
      </w:r>
      <w:r w:rsidR="007537DF" w:rsidRPr="00350546">
        <w:t xml:space="preserve"> </w:t>
      </w:r>
      <w:r w:rsidRPr="00350546">
        <w:rPr>
          <w:u w:val="single"/>
        </w:rPr>
        <w:t>For thi</w:t>
      </w:r>
      <w:r w:rsidR="004F3EC3">
        <w:rPr>
          <w:u w:val="single"/>
        </w:rPr>
        <w:t xml:space="preserve">s reason, we have introduced </w:t>
      </w:r>
      <w:proofErr w:type="spellStart"/>
      <w:r w:rsidR="004F3EC3">
        <w:rPr>
          <w:u w:val="single"/>
        </w:rPr>
        <w:t>TraxxShield</w:t>
      </w:r>
      <w:proofErr w:type="spellEnd"/>
      <w:r w:rsidR="004F3EC3">
        <w:rPr>
          <w:u w:val="single"/>
        </w:rPr>
        <w:t xml:space="preserve"> </w:t>
      </w:r>
      <w:r w:rsidR="004B301F" w:rsidRPr="00350546">
        <w:rPr>
          <w:u w:val="single"/>
        </w:rPr>
        <w:t>D</w:t>
      </w:r>
      <w:r w:rsidR="0067185C" w:rsidRPr="00350546">
        <w:rPr>
          <w:u w:val="single"/>
        </w:rPr>
        <w:t>ouble-S</w:t>
      </w:r>
      <w:r w:rsidRPr="00350546">
        <w:rPr>
          <w:u w:val="single"/>
        </w:rPr>
        <w:t>i</w:t>
      </w:r>
      <w:r w:rsidR="0078762F" w:rsidRPr="00350546">
        <w:rPr>
          <w:u w:val="single"/>
        </w:rPr>
        <w:t xml:space="preserve">ded </w:t>
      </w:r>
      <w:r w:rsidRPr="00350546">
        <w:rPr>
          <w:u w:val="single"/>
        </w:rPr>
        <w:t>Seam Tape</w:t>
      </w:r>
      <w:r w:rsidR="004B301F" w:rsidRPr="00350546">
        <w:rPr>
          <w:u w:val="single"/>
        </w:rPr>
        <w:t xml:space="preserve">. </w:t>
      </w:r>
    </w:p>
    <w:p w:rsidR="00EA4E71" w:rsidRPr="00350546" w:rsidRDefault="00EA4E71" w:rsidP="007537DF">
      <w:r w:rsidRPr="00350546">
        <w:t>Two types of installations are rec</w:t>
      </w:r>
      <w:r w:rsidR="004F3EC3">
        <w:t>ommended with the Double-Sided T</w:t>
      </w:r>
      <w:r w:rsidRPr="00350546">
        <w:t>ape;</w:t>
      </w:r>
    </w:p>
    <w:p w:rsidR="00D50755" w:rsidRPr="00350546" w:rsidRDefault="004B301F" w:rsidP="00D50755">
      <w:pPr>
        <w:pStyle w:val="ListParagraph"/>
        <w:numPr>
          <w:ilvl w:val="0"/>
          <w:numId w:val="3"/>
        </w:numPr>
      </w:pPr>
      <w:r w:rsidRPr="00350546">
        <w:rPr>
          <w:b/>
        </w:rPr>
        <w:t>BOTTOM</w:t>
      </w:r>
      <w:r w:rsidR="00EA4E71" w:rsidRPr="00350546">
        <w:t xml:space="preserve"> </w:t>
      </w:r>
      <w:r w:rsidR="00EA4E71" w:rsidRPr="00350546">
        <w:rPr>
          <w:b/>
        </w:rPr>
        <w:t>of the S</w:t>
      </w:r>
      <w:r w:rsidRPr="00350546">
        <w:rPr>
          <w:b/>
        </w:rPr>
        <w:t>eam</w:t>
      </w:r>
      <w:r w:rsidR="00EA4E71" w:rsidRPr="00350546">
        <w:rPr>
          <w:b/>
        </w:rPr>
        <w:t>.</w:t>
      </w:r>
      <w:r w:rsidR="00EA4E71" w:rsidRPr="00350546">
        <w:t xml:space="preserve"> This BOTTOM-SEAMING is critical for VCT, LVT, and LVP tiles.  T</w:t>
      </w:r>
      <w:r w:rsidR="0078762F" w:rsidRPr="00350546">
        <w:t>he installer ensures</w:t>
      </w:r>
      <w:r w:rsidRPr="00350546">
        <w:t xml:space="preserve"> </w:t>
      </w:r>
      <w:r w:rsidRPr="00350546">
        <w:rPr>
          <w:b/>
          <w:u w:val="single"/>
        </w:rPr>
        <w:t>no seam telegraphing</w:t>
      </w:r>
      <w:r w:rsidRPr="00350546">
        <w:t xml:space="preserve">. </w:t>
      </w:r>
      <w:r w:rsidR="004F3EC3">
        <w:t xml:space="preserve"> Follow the standard installation method for Traxxshield100</w:t>
      </w:r>
      <w:r w:rsidR="00EA4E71" w:rsidRPr="00350546">
        <w:t xml:space="preserve"> and</w:t>
      </w:r>
      <w:r w:rsidRPr="00350546">
        <w:t xml:space="preserve"> </w:t>
      </w:r>
      <w:r w:rsidR="004F3EC3">
        <w:t>adhere the Double-Sided T</w:t>
      </w:r>
      <w:r w:rsidR="00EA4E71" w:rsidRPr="00350546">
        <w:t xml:space="preserve">ape to the floor. </w:t>
      </w:r>
      <w:r w:rsidR="00745339">
        <w:t xml:space="preserve"> </w:t>
      </w:r>
      <w:r w:rsidR="00EA4E71" w:rsidRPr="00350546">
        <w:t>Hand roller th</w:t>
      </w:r>
      <w:r w:rsidR="00745339">
        <w:t>e tape, remove the tape release paper, and lay</w:t>
      </w:r>
      <w:r w:rsidR="004F3EC3">
        <w:t xml:space="preserve"> the Traxxshield100</w:t>
      </w:r>
      <w:r w:rsidR="00EA4E71" w:rsidRPr="00350546">
        <w:t xml:space="preserve"> into the tape. </w:t>
      </w:r>
    </w:p>
    <w:p w:rsidR="00D50755" w:rsidRPr="00350546" w:rsidRDefault="00EA4E71" w:rsidP="00D50755">
      <w:pPr>
        <w:pStyle w:val="ListParagraph"/>
        <w:numPr>
          <w:ilvl w:val="0"/>
          <w:numId w:val="3"/>
        </w:numPr>
      </w:pPr>
      <w:r w:rsidRPr="00350546">
        <w:rPr>
          <w:b/>
        </w:rPr>
        <w:t>TOP</w:t>
      </w:r>
      <w:r w:rsidRPr="00350546">
        <w:t xml:space="preserve"> </w:t>
      </w:r>
      <w:r w:rsidRPr="00350546">
        <w:rPr>
          <w:b/>
        </w:rPr>
        <w:t xml:space="preserve">of the Seam. </w:t>
      </w:r>
      <w:r w:rsidRPr="00350546">
        <w:t xml:space="preserve">For use </w:t>
      </w:r>
      <w:r w:rsidR="0078762F" w:rsidRPr="00350546">
        <w:t xml:space="preserve">when Carpet Tile </w:t>
      </w:r>
      <w:r w:rsidR="00D50755" w:rsidRPr="00350546">
        <w:t xml:space="preserve">or Engineered Wood is specified. </w:t>
      </w:r>
    </w:p>
    <w:p w:rsidR="0078762F" w:rsidRPr="00350546" w:rsidRDefault="00D50755" w:rsidP="00D50755">
      <w:pPr>
        <w:pStyle w:val="ListParagraph"/>
      </w:pPr>
      <w:r w:rsidRPr="00350546">
        <w:t>I</w:t>
      </w:r>
      <w:r w:rsidR="0078762F" w:rsidRPr="00350546">
        <w:t>t is approved to TOP SEAM with the</w:t>
      </w:r>
      <w:r w:rsidR="004F3EC3">
        <w:t xml:space="preserve"> </w:t>
      </w:r>
      <w:r w:rsidR="0078762F" w:rsidRPr="00350546">
        <w:t xml:space="preserve">Double-Sided Tape, as there are no concerns with seam telegraphing. </w:t>
      </w:r>
    </w:p>
    <w:p w:rsidR="00D50755" w:rsidRPr="00350546" w:rsidRDefault="00D50755" w:rsidP="00D50755">
      <w:r w:rsidRPr="00350546">
        <w:t>Reminder: Use the Double-Si</w:t>
      </w:r>
      <w:r w:rsidR="004F3EC3">
        <w:t>ded Tape to adhere TraxxShield100</w:t>
      </w:r>
      <w:r w:rsidRPr="00350546">
        <w:t xml:space="preserve"> at all threshold</w:t>
      </w:r>
      <w:r w:rsidR="004A0181" w:rsidRPr="00350546">
        <w:t>s</w:t>
      </w:r>
      <w:r w:rsidRPr="00350546">
        <w:t xml:space="preserve"> or transitions. </w:t>
      </w:r>
    </w:p>
    <w:p w:rsidR="00AA4111" w:rsidRPr="00350546" w:rsidRDefault="004A0181" w:rsidP="004A0181">
      <w:r w:rsidRPr="00350546">
        <w:t>**</w:t>
      </w:r>
      <w:r w:rsidR="00AA4111" w:rsidRPr="00350546">
        <w:t xml:space="preserve">The Loose-lay installation </w:t>
      </w:r>
      <w:r w:rsidR="00D50755" w:rsidRPr="00350546">
        <w:t xml:space="preserve">method </w:t>
      </w:r>
      <w:r w:rsidR="00AA4111" w:rsidRPr="00350546">
        <w:rPr>
          <w:u w:val="single"/>
        </w:rPr>
        <w:t>is not approved</w:t>
      </w:r>
      <w:r w:rsidR="00AA4111" w:rsidRPr="00350546">
        <w:t xml:space="preserve"> for </w:t>
      </w:r>
      <w:r w:rsidR="004F3EC3">
        <w:t xml:space="preserve">Sheet Vinyl </w:t>
      </w:r>
      <w:r w:rsidR="00745339">
        <w:t xml:space="preserve">or Ceramic </w:t>
      </w:r>
      <w:r w:rsidR="00AA4111" w:rsidRPr="00350546">
        <w:t>floorcoverings.</w:t>
      </w:r>
    </w:p>
    <w:p w:rsidR="00D50755" w:rsidRPr="00350546" w:rsidRDefault="00D50755" w:rsidP="003C0B98">
      <w:r w:rsidRPr="00350546">
        <w:t>T</w:t>
      </w:r>
      <w:r w:rsidR="0021794C" w:rsidRPr="00350546">
        <w:t>hese</w:t>
      </w:r>
      <w:r w:rsidR="0067185C" w:rsidRPr="00350546">
        <w:t xml:space="preserve"> Double-S</w:t>
      </w:r>
      <w:r w:rsidR="004B301F" w:rsidRPr="00350546">
        <w:t xml:space="preserve">ided </w:t>
      </w:r>
      <w:r w:rsidR="0067185C" w:rsidRPr="00350546">
        <w:t>Seam T</w:t>
      </w:r>
      <w:r w:rsidR="004B301F" w:rsidRPr="00350546">
        <w:t>ape technique</w:t>
      </w:r>
      <w:r w:rsidR="0021794C" w:rsidRPr="00350546">
        <w:t>s</w:t>
      </w:r>
      <w:r w:rsidR="004B301F" w:rsidRPr="00350546">
        <w:t xml:space="preserve"> me</w:t>
      </w:r>
      <w:r w:rsidR="0021794C" w:rsidRPr="00350546">
        <w:t>et</w:t>
      </w:r>
      <w:r w:rsidR="004B301F" w:rsidRPr="00350546">
        <w:t xml:space="preserve"> the objective</w:t>
      </w:r>
      <w:r w:rsidR="007F0751" w:rsidRPr="00350546">
        <w:t>s</w:t>
      </w:r>
      <w:r w:rsidR="004B301F" w:rsidRPr="00350546">
        <w:t xml:space="preserve"> of </w:t>
      </w:r>
      <w:r w:rsidR="00FA4028" w:rsidRPr="00350546">
        <w:t>floating</w:t>
      </w:r>
      <w:r w:rsidRPr="00350546">
        <w:t xml:space="preserve"> installations</w:t>
      </w:r>
      <w:r w:rsidR="00FA4028" w:rsidRPr="00350546">
        <w:t xml:space="preserve"> and</w:t>
      </w:r>
      <w:r w:rsidR="007F0751" w:rsidRPr="00350546">
        <w:t xml:space="preserve"> maintaining </w:t>
      </w:r>
      <w:r w:rsidR="00FA4028" w:rsidRPr="00350546">
        <w:t xml:space="preserve">excellent seam integrity. </w:t>
      </w:r>
      <w:r w:rsidR="0078762F" w:rsidRPr="00350546">
        <w:t xml:space="preserve"> </w:t>
      </w:r>
    </w:p>
    <w:p w:rsidR="003C0B98" w:rsidRDefault="0021794C" w:rsidP="003C0B98">
      <w:r w:rsidRPr="00350546">
        <w:t xml:space="preserve">Please </w:t>
      </w:r>
      <w:r w:rsidR="004F3EC3">
        <w:t xml:space="preserve">order the </w:t>
      </w:r>
      <w:proofErr w:type="spellStart"/>
      <w:r w:rsidR="004F3EC3">
        <w:t>TraxxShield</w:t>
      </w:r>
      <w:proofErr w:type="spellEnd"/>
      <w:r w:rsidR="0067185C" w:rsidRPr="00350546">
        <w:t xml:space="preserve"> Double-S</w:t>
      </w:r>
      <w:r w:rsidRPr="00350546">
        <w:t xml:space="preserve">ided Seam Tape as Part No. </w:t>
      </w:r>
      <w:proofErr w:type="gramStart"/>
      <w:r w:rsidRPr="00350546">
        <w:t>TSU-40200-DST.</w:t>
      </w:r>
      <w:proofErr w:type="gramEnd"/>
    </w:p>
    <w:p w:rsidR="0072199B" w:rsidRDefault="0072199B" w:rsidP="003C0B98"/>
    <w:p w:rsidR="0072199B" w:rsidRDefault="0072199B" w:rsidP="003C0B98"/>
    <w:p w:rsidR="0072199B" w:rsidRDefault="0072199B" w:rsidP="0072199B">
      <w:pPr>
        <w:rPr>
          <w:b/>
          <w:sz w:val="28"/>
          <w:szCs w:val="28"/>
          <w:u w:val="single"/>
        </w:rPr>
      </w:pPr>
    </w:p>
    <w:p w:rsidR="0072199B" w:rsidRDefault="0072199B" w:rsidP="0072199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TraxxShiel</w:t>
      </w:r>
      <w:r w:rsidR="00745339">
        <w:rPr>
          <w:b/>
          <w:sz w:val="28"/>
          <w:szCs w:val="28"/>
          <w:u w:val="single"/>
        </w:rPr>
        <w:t>d</w:t>
      </w:r>
      <w:proofErr w:type="spellEnd"/>
      <w:r w:rsidR="00895B9A">
        <w:rPr>
          <w:b/>
          <w:sz w:val="28"/>
          <w:szCs w:val="28"/>
          <w:u w:val="single"/>
        </w:rPr>
        <w:t xml:space="preserve"> Seam Tape Options </w:t>
      </w:r>
    </w:p>
    <w:p w:rsidR="0072199B" w:rsidRPr="000768AA" w:rsidRDefault="0072199B" w:rsidP="0072199B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768AA">
        <w:rPr>
          <w:b/>
          <w:sz w:val="24"/>
          <w:szCs w:val="24"/>
        </w:rPr>
        <w:t>Loose-lay Floating Method for VCT, LVP/LVT (Bottom Seaming)</w:t>
      </w:r>
    </w:p>
    <w:p w:rsidR="0072199B" w:rsidRDefault="00745339" w:rsidP="007219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Apply Double-Sided </w:t>
      </w:r>
      <w:proofErr w:type="spellStart"/>
      <w:r>
        <w:rPr>
          <w:b/>
          <w:sz w:val="24"/>
          <w:szCs w:val="24"/>
        </w:rPr>
        <w:t>TraxxShield</w:t>
      </w:r>
      <w:proofErr w:type="spellEnd"/>
      <w:r w:rsidR="0072199B" w:rsidRPr="00E56AF3">
        <w:rPr>
          <w:b/>
          <w:sz w:val="24"/>
          <w:szCs w:val="24"/>
        </w:rPr>
        <w:t xml:space="preserve"> Seam Tape to concrete slab</w:t>
      </w:r>
      <w:r w:rsidR="008514E3">
        <w:rPr>
          <w:b/>
          <w:sz w:val="24"/>
          <w:szCs w:val="24"/>
        </w:rPr>
        <w:t xml:space="preserve"> and hand-roll.</w:t>
      </w:r>
    </w:p>
    <w:p w:rsidR="0072199B" w:rsidRPr="00B80871" w:rsidRDefault="0072199B" w:rsidP="0072199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Remove tape liner to expose adhesive and fold</w:t>
      </w:r>
      <w:r w:rsidR="00745339">
        <w:rPr>
          <w:b/>
          <w:sz w:val="24"/>
          <w:szCs w:val="24"/>
        </w:rPr>
        <w:t xml:space="preserve"> back both rows of TraxxShield100</w:t>
      </w:r>
      <w:r>
        <w:rPr>
          <w:b/>
          <w:sz w:val="24"/>
          <w:szCs w:val="24"/>
        </w:rPr>
        <w:t xml:space="preserve"> back down over seam tape.  </w:t>
      </w:r>
      <w:r>
        <w:rPr>
          <w:b/>
          <w:sz w:val="24"/>
          <w:szCs w:val="24"/>
          <w:u w:val="single"/>
        </w:rPr>
        <w:t xml:space="preserve"> No Seam T</w:t>
      </w:r>
      <w:r w:rsidRPr="00B80871">
        <w:rPr>
          <w:b/>
          <w:sz w:val="24"/>
          <w:szCs w:val="24"/>
          <w:u w:val="single"/>
        </w:rPr>
        <w:t>elegraphing!</w:t>
      </w:r>
    </w:p>
    <w:p w:rsidR="0072199B" w:rsidRPr="007F0F0C" w:rsidRDefault="0072199B" w:rsidP="0072199B">
      <w:pPr>
        <w:ind w:left="360" w:firstLine="72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F4283C" wp14:editId="4FB85DE9">
            <wp:extent cx="18097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F7A4DC" wp14:editId="2D7C775F">
            <wp:extent cx="1714500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AFC3D1F" wp14:editId="59C19E49">
            <wp:extent cx="15716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9B" w:rsidRPr="000768AA" w:rsidRDefault="0072199B" w:rsidP="0072199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768AA">
        <w:rPr>
          <w:b/>
          <w:sz w:val="24"/>
          <w:szCs w:val="24"/>
        </w:rPr>
        <w:t>Loose-lay Floating Method for Carpet Tile and Engineered Wood (Top Seaming)</w:t>
      </w:r>
    </w:p>
    <w:p w:rsidR="0072199B" w:rsidRDefault="00745339" w:rsidP="0072199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Apply Double-Sided </w:t>
      </w:r>
      <w:proofErr w:type="spellStart"/>
      <w:r>
        <w:rPr>
          <w:b/>
          <w:sz w:val="24"/>
          <w:szCs w:val="24"/>
        </w:rPr>
        <w:t>TraxxShield</w:t>
      </w:r>
      <w:proofErr w:type="spellEnd"/>
      <w:r w:rsidR="008514E3">
        <w:rPr>
          <w:b/>
          <w:sz w:val="24"/>
          <w:szCs w:val="24"/>
        </w:rPr>
        <w:t xml:space="preserve"> Seam Tape to top of seam and hand-roll.</w:t>
      </w:r>
      <w:bookmarkStart w:id="0" w:name="_GoBack"/>
      <w:bookmarkEnd w:id="0"/>
    </w:p>
    <w:p w:rsidR="0072199B" w:rsidRPr="007F0F0C" w:rsidRDefault="0072199B" w:rsidP="0072199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Remove tape liner, and top seam is quickly created</w:t>
      </w:r>
    </w:p>
    <w:p w:rsidR="0072199B" w:rsidRDefault="0072199B" w:rsidP="0072199B">
      <w:pPr>
        <w:ind w:left="1080" w:firstLine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6F7054" wp14:editId="5A353EA0">
            <wp:extent cx="17145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47B0608F" wp14:editId="54751F05">
            <wp:extent cx="15906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9B" w:rsidRPr="007F0F0C" w:rsidRDefault="0072199B" w:rsidP="0072199B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7F0F0C">
        <w:rPr>
          <w:b/>
          <w:sz w:val="24"/>
          <w:szCs w:val="24"/>
        </w:rPr>
        <w:t>Standard Peel &amp; Stick Method</w:t>
      </w:r>
      <w:r w:rsidRPr="007F0F0C">
        <w:rPr>
          <w:b/>
          <w:sz w:val="24"/>
          <w:szCs w:val="24"/>
        </w:rPr>
        <w:tab/>
      </w:r>
      <w:r w:rsidRPr="007F0F0C">
        <w:rPr>
          <w:b/>
          <w:sz w:val="24"/>
          <w:szCs w:val="24"/>
        </w:rPr>
        <w:tab/>
      </w:r>
    </w:p>
    <w:p w:rsidR="0072199B" w:rsidRPr="003C2EE9" w:rsidRDefault="00745339" w:rsidP="007219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Apply </w:t>
      </w:r>
      <w:proofErr w:type="spellStart"/>
      <w:r>
        <w:rPr>
          <w:b/>
          <w:sz w:val="24"/>
          <w:szCs w:val="24"/>
        </w:rPr>
        <w:t>TraxxShield</w:t>
      </w:r>
      <w:proofErr w:type="spellEnd"/>
      <w:r w:rsidR="0072199B" w:rsidRPr="003C2EE9">
        <w:rPr>
          <w:b/>
          <w:sz w:val="24"/>
          <w:szCs w:val="24"/>
        </w:rPr>
        <w:t xml:space="preserve"> Seam Tape directly to concrete slab</w:t>
      </w:r>
      <w:r w:rsidR="0072199B">
        <w:rPr>
          <w:b/>
          <w:sz w:val="24"/>
          <w:szCs w:val="24"/>
        </w:rPr>
        <w:t>.</w:t>
      </w:r>
    </w:p>
    <w:p w:rsidR="0072199B" w:rsidRPr="003C2EE9" w:rsidRDefault="0072199B" w:rsidP="0072199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Remove Release Line</w:t>
      </w:r>
      <w:r w:rsidR="00745339">
        <w:rPr>
          <w:b/>
          <w:sz w:val="24"/>
          <w:szCs w:val="24"/>
        </w:rPr>
        <w:t>r of TraxxShield100</w:t>
      </w:r>
      <w:r>
        <w:rPr>
          <w:b/>
          <w:sz w:val="24"/>
          <w:szCs w:val="24"/>
        </w:rPr>
        <w:t xml:space="preserve"> membrane and fold both rows </w:t>
      </w:r>
      <w:r w:rsidRPr="003C2EE9">
        <w:rPr>
          <w:b/>
          <w:sz w:val="24"/>
          <w:szCs w:val="24"/>
        </w:rPr>
        <w:t>back down over seam tape</w:t>
      </w:r>
      <w:r>
        <w:rPr>
          <w:b/>
          <w:sz w:val="24"/>
          <w:szCs w:val="24"/>
        </w:rPr>
        <w:t xml:space="preserve">.   </w:t>
      </w:r>
      <w:r w:rsidRPr="0094787A">
        <w:rPr>
          <w:b/>
          <w:sz w:val="24"/>
          <w:szCs w:val="24"/>
          <w:u w:val="single"/>
        </w:rPr>
        <w:t>No Seam Telegraphing!</w:t>
      </w:r>
    </w:p>
    <w:p w:rsidR="0072199B" w:rsidRPr="00350546" w:rsidRDefault="00C10796" w:rsidP="00C10796">
      <w:pPr>
        <w:ind w:firstLine="720"/>
      </w:pPr>
      <w:r>
        <w:rPr>
          <w:b/>
          <w:noProof/>
          <w:sz w:val="24"/>
          <w:szCs w:val="24"/>
          <w:u w:val="single"/>
        </w:rPr>
        <w:t xml:space="preserve"> </w:t>
      </w:r>
      <w:r w:rsidR="0072199B" w:rsidRPr="00E56AF3">
        <w:rPr>
          <w:b/>
          <w:noProof/>
          <w:sz w:val="24"/>
          <w:szCs w:val="24"/>
          <w:u w:val="single"/>
        </w:rPr>
        <w:drawing>
          <wp:inline distT="0" distB="0" distL="0" distR="0" wp14:anchorId="55998EF5" wp14:editId="7F0E38F9">
            <wp:extent cx="1809750" cy="156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b/>
          <w:noProof/>
          <w:sz w:val="24"/>
          <w:szCs w:val="24"/>
          <w:u w:val="single"/>
        </w:rPr>
        <w:drawing>
          <wp:inline distT="0" distB="0" distL="0" distR="0" wp14:anchorId="02BC20E1" wp14:editId="064604C6">
            <wp:extent cx="1743075" cy="1562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AB2">
        <w:rPr>
          <w:b/>
          <w:noProof/>
          <w:sz w:val="24"/>
          <w:szCs w:val="24"/>
          <w:u w:val="single"/>
        </w:rPr>
        <w:drawing>
          <wp:inline distT="0" distB="0" distL="0" distR="0" wp14:anchorId="285E19CF">
            <wp:extent cx="1572895" cy="15608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B98" w:rsidRPr="003C0B98" w:rsidRDefault="003C0B98" w:rsidP="003C0B98">
      <w:pPr>
        <w:rPr>
          <w:b/>
          <w:sz w:val="24"/>
          <w:szCs w:val="24"/>
        </w:rPr>
      </w:pPr>
    </w:p>
    <w:sectPr w:rsidR="003C0B98" w:rsidRPr="003C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639"/>
    <w:multiLevelType w:val="hybridMultilevel"/>
    <w:tmpl w:val="87FC4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603D0"/>
    <w:multiLevelType w:val="hybridMultilevel"/>
    <w:tmpl w:val="7F76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6641"/>
    <w:multiLevelType w:val="hybridMultilevel"/>
    <w:tmpl w:val="38B0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D3C"/>
    <w:multiLevelType w:val="hybridMultilevel"/>
    <w:tmpl w:val="B5C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B1DBD"/>
    <w:multiLevelType w:val="hybridMultilevel"/>
    <w:tmpl w:val="116EF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E4764D"/>
    <w:multiLevelType w:val="hybridMultilevel"/>
    <w:tmpl w:val="C190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D583B"/>
    <w:multiLevelType w:val="hybridMultilevel"/>
    <w:tmpl w:val="5382F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8"/>
    <w:rsid w:val="00182480"/>
    <w:rsid w:val="0021794C"/>
    <w:rsid w:val="00350546"/>
    <w:rsid w:val="003C0B98"/>
    <w:rsid w:val="003C3144"/>
    <w:rsid w:val="00433FF6"/>
    <w:rsid w:val="004A0181"/>
    <w:rsid w:val="004B301F"/>
    <w:rsid w:val="004F3EC3"/>
    <w:rsid w:val="00546079"/>
    <w:rsid w:val="005861A9"/>
    <w:rsid w:val="005E3AFF"/>
    <w:rsid w:val="0067185C"/>
    <w:rsid w:val="006E2E0D"/>
    <w:rsid w:val="0072199B"/>
    <w:rsid w:val="00745339"/>
    <w:rsid w:val="007537DF"/>
    <w:rsid w:val="0078762F"/>
    <w:rsid w:val="007F0751"/>
    <w:rsid w:val="008514E3"/>
    <w:rsid w:val="00895B9A"/>
    <w:rsid w:val="009E2AB2"/>
    <w:rsid w:val="00AA4111"/>
    <w:rsid w:val="00B870CF"/>
    <w:rsid w:val="00C10796"/>
    <w:rsid w:val="00D50755"/>
    <w:rsid w:val="00EA4E71"/>
    <w:rsid w:val="00F3076E"/>
    <w:rsid w:val="00FA4028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 Palys</dc:creator>
  <cp:lastModifiedBy>Jerry  Palys</cp:lastModifiedBy>
  <cp:revision>3</cp:revision>
  <cp:lastPrinted>2016-08-22T22:02:00Z</cp:lastPrinted>
  <dcterms:created xsi:type="dcterms:W3CDTF">2016-11-11T21:09:00Z</dcterms:created>
  <dcterms:modified xsi:type="dcterms:W3CDTF">2016-11-11T21:09:00Z</dcterms:modified>
</cp:coreProperties>
</file>